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31E9" w14:textId="38307E99" w:rsidR="00D07E47" w:rsidRDefault="00FD193F" w:rsidP="00570780">
      <w:pPr>
        <w:spacing w:line="360" w:lineRule="atLeast"/>
        <w:jc w:val="right"/>
        <w:rPr>
          <w:b/>
          <w:caps/>
          <w:szCs w:val="24"/>
        </w:rPr>
      </w:pPr>
      <w:bookmarkStart w:id="0" w:name="_GoBack"/>
      <w:bookmarkEnd w:id="0"/>
      <w:r>
        <w:rPr>
          <w:b/>
          <w:sz w:val="22"/>
          <w:szCs w:val="22"/>
          <w:lang w:eastAsia="lt-LT"/>
        </w:rPr>
        <w:t>Projektas</w:t>
      </w:r>
    </w:p>
    <w:p w14:paraId="1B1374BA" w14:textId="77777777" w:rsidR="00D07E47" w:rsidRDefault="00D07E47" w:rsidP="00570780">
      <w:pPr>
        <w:spacing w:line="360" w:lineRule="atLeast"/>
        <w:rPr>
          <w:sz w:val="18"/>
          <w:szCs w:val="18"/>
        </w:rPr>
      </w:pPr>
    </w:p>
    <w:p w14:paraId="4DFF31EB" w14:textId="77777777" w:rsidR="00D07E47" w:rsidRDefault="00FD193F" w:rsidP="00570780">
      <w:pPr>
        <w:spacing w:line="36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 FINANSŲ MINISTRAS</w:t>
      </w:r>
    </w:p>
    <w:p w14:paraId="4DFF31EC" w14:textId="77777777" w:rsidR="00D07E47" w:rsidRDefault="00D07E47" w:rsidP="00570780">
      <w:pPr>
        <w:spacing w:line="360" w:lineRule="atLeast"/>
        <w:rPr>
          <w:sz w:val="18"/>
          <w:szCs w:val="18"/>
        </w:rPr>
      </w:pPr>
    </w:p>
    <w:p w14:paraId="4DFF31ED" w14:textId="77777777" w:rsidR="00D07E47" w:rsidRDefault="00FD193F" w:rsidP="00570780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524ECA53" w14:textId="4368FEC0" w:rsidR="00D07E47" w:rsidRDefault="00FD193F" w:rsidP="00570780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FINANSŲ MINISTRO </w:t>
      </w:r>
      <w:r>
        <w:rPr>
          <w:b/>
        </w:rPr>
        <w:t xml:space="preserve">2012 M. </w:t>
      </w:r>
      <w:r w:rsidR="00397DF4">
        <w:rPr>
          <w:b/>
        </w:rPr>
        <w:t>BALANDŽIO</w:t>
      </w:r>
      <w:r>
        <w:rPr>
          <w:b/>
        </w:rPr>
        <w:t xml:space="preserve"> </w:t>
      </w:r>
      <w:r w:rsidR="00965E5B">
        <w:rPr>
          <w:b/>
        </w:rPr>
        <w:t>27</w:t>
      </w:r>
      <w:r>
        <w:rPr>
          <w:b/>
        </w:rPr>
        <w:t xml:space="preserve"> D. ĮSAKYMO NR. 1K- </w:t>
      </w:r>
      <w:r w:rsidR="00397DF4">
        <w:rPr>
          <w:b/>
        </w:rPr>
        <w:t xml:space="preserve">159 </w:t>
      </w:r>
      <w:r>
        <w:rPr>
          <w:b/>
          <w:szCs w:val="24"/>
          <w:lang w:eastAsia="lt-LT"/>
        </w:rPr>
        <w:t>„</w:t>
      </w:r>
      <w:r w:rsidR="00397DF4">
        <w:rPr>
          <w:b/>
          <w:bCs/>
          <w:caps/>
          <w:color w:val="000000"/>
        </w:rPr>
        <w:t>DĖL TURTO IR VERSLO VERTINIMO METODIKOS PATVIRTINIMO</w:t>
      </w:r>
      <w:r>
        <w:rPr>
          <w:b/>
          <w:szCs w:val="24"/>
          <w:lang w:eastAsia="lt-LT"/>
        </w:rPr>
        <w:t xml:space="preserve">“ </w:t>
      </w:r>
    </w:p>
    <w:p w14:paraId="4DFF31EE" w14:textId="33B4BA4E" w:rsidR="00D07E47" w:rsidRDefault="00FD193F" w:rsidP="00570780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szCs w:val="24"/>
          <w:lang w:eastAsia="lt-LT"/>
        </w:rPr>
        <w:t>PAKEITIMO</w:t>
      </w:r>
    </w:p>
    <w:p w14:paraId="4DFF31EF" w14:textId="77777777" w:rsidR="00D07E47" w:rsidRDefault="00D07E47" w:rsidP="0057078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/>
          <w:szCs w:val="24"/>
          <w:lang w:eastAsia="lt-LT"/>
        </w:rPr>
      </w:pPr>
    </w:p>
    <w:p w14:paraId="4DFF31F0" w14:textId="6A4263B5" w:rsidR="00D07E47" w:rsidRDefault="00FD193F" w:rsidP="00570780">
      <w:pPr>
        <w:jc w:val="center"/>
        <w:rPr>
          <w:szCs w:val="24"/>
        </w:rPr>
      </w:pPr>
      <w:r>
        <w:rPr>
          <w:szCs w:val="24"/>
        </w:rPr>
        <w:t>20</w:t>
      </w:r>
      <w:r w:rsidR="00397DF4">
        <w:rPr>
          <w:szCs w:val="24"/>
        </w:rPr>
        <w:t>20</w:t>
      </w:r>
      <w:r>
        <w:rPr>
          <w:szCs w:val="24"/>
        </w:rPr>
        <w:t xml:space="preserve"> m. </w:t>
      </w:r>
      <w:r>
        <w:rPr>
          <w:szCs w:val="24"/>
          <w:lang w:eastAsia="lt-LT"/>
        </w:rPr>
        <w:t xml:space="preserve">                             </w:t>
      </w:r>
      <w:r>
        <w:rPr>
          <w:szCs w:val="24"/>
        </w:rPr>
        <w:t xml:space="preserve">d. Nr. 1K-                     </w:t>
      </w:r>
    </w:p>
    <w:p w14:paraId="4DFF31F1" w14:textId="77777777" w:rsidR="00D07E47" w:rsidRDefault="00FD193F" w:rsidP="00570780">
      <w:pPr>
        <w:jc w:val="center"/>
        <w:rPr>
          <w:szCs w:val="24"/>
        </w:rPr>
      </w:pPr>
      <w:r>
        <w:rPr>
          <w:szCs w:val="24"/>
        </w:rPr>
        <w:t>Vilnius</w:t>
      </w:r>
    </w:p>
    <w:p w14:paraId="4DFF31F2" w14:textId="77777777" w:rsidR="00D07E47" w:rsidRDefault="00D07E47" w:rsidP="00570780">
      <w:pPr>
        <w:spacing w:line="360" w:lineRule="atLeast"/>
        <w:jc w:val="center"/>
        <w:rPr>
          <w:szCs w:val="24"/>
        </w:rPr>
      </w:pPr>
    </w:p>
    <w:p w14:paraId="1EA21EC2" w14:textId="77777777" w:rsidR="00570780" w:rsidRDefault="00397DF4" w:rsidP="00570780">
      <w:pPr>
        <w:spacing w:line="360" w:lineRule="atLeast"/>
        <w:ind w:firstLine="720"/>
        <w:jc w:val="both"/>
        <w:rPr>
          <w:szCs w:val="24"/>
        </w:rPr>
      </w:pPr>
      <w:r w:rsidRPr="002A47CF">
        <w:rPr>
          <w:szCs w:val="24"/>
        </w:rPr>
        <w:t xml:space="preserve">1. </w:t>
      </w:r>
      <w:r w:rsidR="00FD193F" w:rsidRPr="002A47CF">
        <w:rPr>
          <w:szCs w:val="24"/>
        </w:rPr>
        <w:t xml:space="preserve">P a k e i č i u </w:t>
      </w:r>
      <w:r w:rsidR="006F33A5">
        <w:rPr>
          <w:szCs w:val="24"/>
        </w:rPr>
        <w:t xml:space="preserve">Turto ir verslo vertinimo metodiką, patvirtintą </w:t>
      </w:r>
      <w:r w:rsidR="00FD193F" w:rsidRPr="002A47CF">
        <w:rPr>
          <w:szCs w:val="24"/>
        </w:rPr>
        <w:t xml:space="preserve">Lietuvos Respublikos finansų ministro </w:t>
      </w:r>
      <w:r w:rsidR="00FD193F" w:rsidRPr="002A47CF">
        <w:rPr>
          <w:szCs w:val="24"/>
          <w:lang w:eastAsia="lt-LT"/>
        </w:rPr>
        <w:t xml:space="preserve">2012 m. </w:t>
      </w:r>
      <w:r w:rsidRPr="002A47CF">
        <w:rPr>
          <w:szCs w:val="24"/>
          <w:lang w:eastAsia="lt-LT"/>
        </w:rPr>
        <w:t>balandžio</w:t>
      </w:r>
      <w:r w:rsidR="00FD193F" w:rsidRPr="002A47CF">
        <w:rPr>
          <w:szCs w:val="24"/>
          <w:lang w:eastAsia="lt-LT"/>
        </w:rPr>
        <w:t xml:space="preserve"> </w:t>
      </w:r>
      <w:r w:rsidR="006F33A5">
        <w:rPr>
          <w:szCs w:val="24"/>
          <w:lang w:eastAsia="lt-LT"/>
        </w:rPr>
        <w:t>27</w:t>
      </w:r>
      <w:r w:rsidR="00FD193F" w:rsidRPr="002A47CF">
        <w:rPr>
          <w:szCs w:val="24"/>
          <w:lang w:eastAsia="lt-LT"/>
        </w:rPr>
        <w:t xml:space="preserve"> d. įsakym</w:t>
      </w:r>
      <w:r w:rsidR="006F33A5">
        <w:rPr>
          <w:szCs w:val="24"/>
          <w:lang w:eastAsia="lt-LT"/>
        </w:rPr>
        <w:t xml:space="preserve">u </w:t>
      </w:r>
      <w:r w:rsidR="00FD193F" w:rsidRPr="002A47CF">
        <w:rPr>
          <w:szCs w:val="24"/>
          <w:lang w:eastAsia="lt-LT"/>
        </w:rPr>
        <w:t xml:space="preserve"> Nr. 1K-</w:t>
      </w:r>
      <w:r w:rsidRPr="002A47CF">
        <w:rPr>
          <w:szCs w:val="24"/>
          <w:lang w:eastAsia="lt-LT"/>
        </w:rPr>
        <w:t>159</w:t>
      </w:r>
      <w:r w:rsidR="00FD193F" w:rsidRPr="002A47CF">
        <w:rPr>
          <w:szCs w:val="24"/>
        </w:rPr>
        <w:t xml:space="preserve"> „Dėl </w:t>
      </w:r>
      <w:r w:rsidR="00FD193F" w:rsidRPr="002A47CF">
        <w:rPr>
          <w:spacing w:val="-2"/>
          <w:szCs w:val="24"/>
          <w:lang w:eastAsia="lt-LT"/>
        </w:rPr>
        <w:t xml:space="preserve">Turto arba verslo </w:t>
      </w:r>
      <w:r w:rsidRPr="002A47CF">
        <w:rPr>
          <w:spacing w:val="-2"/>
          <w:szCs w:val="24"/>
          <w:lang w:eastAsia="lt-LT"/>
        </w:rPr>
        <w:t>vertinimo metodikos patvirtinimo</w:t>
      </w:r>
      <w:r w:rsidRPr="002A47CF">
        <w:rPr>
          <w:szCs w:val="24"/>
        </w:rPr>
        <w:t>“:</w:t>
      </w:r>
    </w:p>
    <w:p w14:paraId="735A1D94" w14:textId="4C82C880" w:rsidR="00397DF4" w:rsidRPr="002A47CF" w:rsidRDefault="00397DF4" w:rsidP="00570780">
      <w:pPr>
        <w:spacing w:line="360" w:lineRule="atLeast"/>
        <w:ind w:firstLine="720"/>
        <w:jc w:val="both"/>
        <w:rPr>
          <w:szCs w:val="24"/>
        </w:rPr>
      </w:pPr>
      <w:r w:rsidRPr="002A47CF">
        <w:rPr>
          <w:szCs w:val="24"/>
        </w:rPr>
        <w:t>1.1</w:t>
      </w:r>
      <w:r w:rsidR="00B06352">
        <w:rPr>
          <w:szCs w:val="24"/>
        </w:rPr>
        <w:t>.</w:t>
      </w:r>
      <w:r w:rsidRPr="002A47CF">
        <w:rPr>
          <w:szCs w:val="24"/>
        </w:rPr>
        <w:t xml:space="preserve"> Papildau III skyrių IV</w:t>
      </w:r>
      <w:r w:rsidRPr="002A47CF">
        <w:rPr>
          <w:szCs w:val="24"/>
          <w:vertAlign w:val="superscript"/>
        </w:rPr>
        <w:t>1</w:t>
      </w:r>
      <w:r w:rsidRPr="002A47CF">
        <w:rPr>
          <w:szCs w:val="24"/>
        </w:rPr>
        <w:t xml:space="preserve"> skirsniu:</w:t>
      </w:r>
    </w:p>
    <w:p w14:paraId="0E7A93D8" w14:textId="0F384BCC" w:rsidR="00397DF4" w:rsidRPr="00FF01D5" w:rsidRDefault="00397DF4" w:rsidP="00570780">
      <w:pPr>
        <w:widowControl w:val="0"/>
        <w:suppressAutoHyphens/>
        <w:spacing w:line="360" w:lineRule="atLeast"/>
        <w:ind w:firstLine="720"/>
        <w:jc w:val="center"/>
        <w:rPr>
          <w:b/>
          <w:szCs w:val="24"/>
        </w:rPr>
      </w:pPr>
      <w:r w:rsidRPr="00E9315C">
        <w:rPr>
          <w:szCs w:val="24"/>
        </w:rPr>
        <w:t>„</w:t>
      </w:r>
      <w:r w:rsidRPr="00FF01D5">
        <w:rPr>
          <w:b/>
          <w:szCs w:val="24"/>
        </w:rPr>
        <w:t>IV</w:t>
      </w:r>
      <w:r w:rsidR="00570780">
        <w:rPr>
          <w:b/>
          <w:szCs w:val="24"/>
          <w:vertAlign w:val="superscript"/>
        </w:rPr>
        <w:t>1</w:t>
      </w:r>
      <w:r w:rsidR="006F33A5" w:rsidRPr="00FF01D5">
        <w:rPr>
          <w:b/>
          <w:szCs w:val="24"/>
        </w:rPr>
        <w:t xml:space="preserve">. </w:t>
      </w:r>
      <w:r w:rsidRPr="00FF01D5">
        <w:rPr>
          <w:b/>
          <w:szCs w:val="24"/>
        </w:rPr>
        <w:t>APGADINTŲ KELIŲ TRANSPORTO PRIEMONIŲ VERTINIMAS</w:t>
      </w:r>
    </w:p>
    <w:p w14:paraId="7DC0949E" w14:textId="77777777" w:rsidR="00570780" w:rsidRDefault="00570780" w:rsidP="00570780">
      <w:pPr>
        <w:pStyle w:val="ListParagraph"/>
        <w:widowControl w:val="0"/>
        <w:suppressAutoHyphens/>
        <w:spacing w:line="360" w:lineRule="atLeast"/>
        <w:ind w:left="0" w:firstLine="720"/>
        <w:contextualSpacing w:val="0"/>
        <w:jc w:val="both"/>
        <w:rPr>
          <w:sz w:val="24"/>
          <w:szCs w:val="24"/>
        </w:rPr>
      </w:pPr>
    </w:p>
    <w:p w14:paraId="37B1ECDE" w14:textId="666022E3" w:rsidR="00397DF4" w:rsidRPr="00E9315C" w:rsidRDefault="00E9315C" w:rsidP="00570780">
      <w:pPr>
        <w:pStyle w:val="ListParagraph"/>
        <w:widowControl w:val="0"/>
        <w:suppressAutoHyphens/>
        <w:spacing w:line="360" w:lineRule="atLeast"/>
        <w:ind w:left="0" w:firstLine="720"/>
        <w:contextualSpacing w:val="0"/>
        <w:jc w:val="both"/>
        <w:rPr>
          <w:sz w:val="24"/>
          <w:szCs w:val="24"/>
        </w:rPr>
      </w:pPr>
      <w:r w:rsidRPr="00E9315C">
        <w:rPr>
          <w:sz w:val="24"/>
          <w:szCs w:val="24"/>
        </w:rPr>
        <w:t>49</w:t>
      </w:r>
      <w:r w:rsidRPr="00E9315C">
        <w:rPr>
          <w:sz w:val="24"/>
          <w:szCs w:val="24"/>
          <w:vertAlign w:val="superscript"/>
        </w:rPr>
        <w:t>1</w:t>
      </w:r>
      <w:r w:rsidRPr="00E9315C">
        <w:rPr>
          <w:sz w:val="24"/>
          <w:szCs w:val="24"/>
        </w:rPr>
        <w:t>.</w:t>
      </w:r>
      <w:r w:rsidR="00570780">
        <w:rPr>
          <w:sz w:val="24"/>
          <w:szCs w:val="24"/>
        </w:rPr>
        <w:t xml:space="preserve"> </w:t>
      </w:r>
      <w:r w:rsidR="00397DF4" w:rsidRPr="00E9315C">
        <w:rPr>
          <w:sz w:val="24"/>
          <w:szCs w:val="24"/>
        </w:rPr>
        <w:t xml:space="preserve">Vertindamas apgadintą kelių transporto priemonę (toliau - transporto priemonė) vertintojas gali vadovautis </w:t>
      </w:r>
      <w:r w:rsidR="00544115" w:rsidRPr="00544115">
        <w:rPr>
          <w:color w:val="000000"/>
          <w:sz w:val="24"/>
          <w:szCs w:val="24"/>
        </w:rPr>
        <w:t>Lietuvos Respublikos Vyriausybės įgaliotos atlikti vertintojų ir vertinimo įmonių valstybinę priežiūrą įstaigos (toliau – Priežiūros įstaiga</w:t>
      </w:r>
      <w:r w:rsidR="00544115">
        <w:rPr>
          <w:color w:val="000000"/>
        </w:rPr>
        <w:t>)</w:t>
      </w:r>
      <w:r w:rsidR="00302325">
        <w:rPr>
          <w:color w:val="000000"/>
        </w:rPr>
        <w:t xml:space="preserve"> </w:t>
      </w:r>
      <w:r w:rsidR="00397DF4" w:rsidRPr="00E9315C">
        <w:rPr>
          <w:sz w:val="24"/>
          <w:szCs w:val="24"/>
        </w:rPr>
        <w:t xml:space="preserve">patvirtintu Koeficientų apgadintoms kelių transporto priemonėms taikymo tvarkos aprašu (toliau – Koeficientų taikymo tvarkos aprašas) tik tais atvejais, kai vertinimui atlikti nepakanka </w:t>
      </w:r>
      <w:r w:rsidR="00E247C6">
        <w:rPr>
          <w:sz w:val="24"/>
          <w:szCs w:val="24"/>
        </w:rPr>
        <w:t xml:space="preserve">viešai skelbiamų </w:t>
      </w:r>
      <w:r w:rsidR="00397DF4" w:rsidRPr="00E9315C">
        <w:rPr>
          <w:sz w:val="24"/>
          <w:szCs w:val="24"/>
        </w:rPr>
        <w:t xml:space="preserve">rinkos duomenų. </w:t>
      </w:r>
    </w:p>
    <w:p w14:paraId="3FD8D338" w14:textId="5C6CEDD4" w:rsidR="00397DF4" w:rsidRPr="00302325" w:rsidRDefault="00E9315C" w:rsidP="00570780">
      <w:pPr>
        <w:pStyle w:val="ListParagraph"/>
        <w:widowControl w:val="0"/>
        <w:suppressAutoHyphens/>
        <w:spacing w:line="360" w:lineRule="atLeast"/>
        <w:ind w:left="0" w:firstLine="720"/>
        <w:contextualSpacing w:val="0"/>
        <w:jc w:val="both"/>
        <w:rPr>
          <w:sz w:val="24"/>
          <w:szCs w:val="24"/>
        </w:rPr>
      </w:pPr>
      <w:r w:rsidRPr="00E9315C">
        <w:rPr>
          <w:sz w:val="24"/>
          <w:szCs w:val="24"/>
        </w:rPr>
        <w:t>49</w:t>
      </w:r>
      <w:r w:rsidRPr="00E9315C">
        <w:rPr>
          <w:sz w:val="24"/>
          <w:szCs w:val="24"/>
          <w:vertAlign w:val="superscript"/>
        </w:rPr>
        <w:t>2</w:t>
      </w:r>
      <w:r w:rsidRPr="00E9315C">
        <w:rPr>
          <w:sz w:val="24"/>
          <w:szCs w:val="24"/>
        </w:rPr>
        <w:t>.</w:t>
      </w:r>
      <w:r w:rsidR="00570780">
        <w:rPr>
          <w:sz w:val="24"/>
          <w:szCs w:val="24"/>
        </w:rPr>
        <w:t xml:space="preserve"> </w:t>
      </w:r>
      <w:r w:rsidR="00397DF4" w:rsidRPr="00E9315C">
        <w:rPr>
          <w:sz w:val="24"/>
          <w:szCs w:val="24"/>
        </w:rPr>
        <w:t>Privalomojo turto vertinimo atvejais Koeficientų taikymo tvarkos aprašo nuostatos taikomos tiek, kiek jos neprieštarauja specialiesiems privalomąjį vertinimą reglamentuojantiems t</w:t>
      </w:r>
      <w:r w:rsidR="00397DF4" w:rsidRPr="00302325">
        <w:rPr>
          <w:sz w:val="24"/>
          <w:szCs w:val="24"/>
        </w:rPr>
        <w:t xml:space="preserve">eisės aktams. </w:t>
      </w:r>
    </w:p>
    <w:p w14:paraId="7C2BEBA0" w14:textId="59ECCC29" w:rsidR="00397DF4" w:rsidRPr="00302325" w:rsidRDefault="00E9315C" w:rsidP="00570780">
      <w:pPr>
        <w:pStyle w:val="ListParagraph"/>
        <w:widowControl w:val="0"/>
        <w:suppressAutoHyphens/>
        <w:spacing w:line="360" w:lineRule="atLeast"/>
        <w:ind w:left="0" w:firstLine="720"/>
        <w:contextualSpacing w:val="0"/>
        <w:jc w:val="both"/>
        <w:rPr>
          <w:sz w:val="24"/>
          <w:szCs w:val="24"/>
        </w:rPr>
      </w:pPr>
      <w:r w:rsidRPr="00E9315C">
        <w:rPr>
          <w:sz w:val="24"/>
          <w:szCs w:val="24"/>
        </w:rPr>
        <w:t>49</w:t>
      </w:r>
      <w:r w:rsidRPr="00E9315C">
        <w:rPr>
          <w:sz w:val="24"/>
          <w:szCs w:val="24"/>
          <w:vertAlign w:val="superscript"/>
        </w:rPr>
        <w:t>3</w:t>
      </w:r>
      <w:r w:rsidRPr="00E9315C">
        <w:rPr>
          <w:sz w:val="24"/>
          <w:szCs w:val="24"/>
        </w:rPr>
        <w:t>.</w:t>
      </w:r>
      <w:r w:rsidR="00570780">
        <w:rPr>
          <w:sz w:val="24"/>
          <w:szCs w:val="24"/>
        </w:rPr>
        <w:t xml:space="preserve"> </w:t>
      </w:r>
      <w:r w:rsidR="00397DF4" w:rsidRPr="00E9315C">
        <w:rPr>
          <w:sz w:val="24"/>
          <w:szCs w:val="24"/>
        </w:rPr>
        <w:t xml:space="preserve">Kai transporto priemonės vertė apskaičiuojama vadovaujantis Koeficientų taikymo tvarkos aprašu, vertinimą atliekantis vertintojas šį pasirinkimą privalo pagrįsti vertinimo ataskaitoje. </w:t>
      </w:r>
    </w:p>
    <w:p w14:paraId="3BFB42A0" w14:textId="6C611B2E" w:rsidR="00397DF4" w:rsidRPr="00E9315C" w:rsidRDefault="00E9315C" w:rsidP="00570780">
      <w:pPr>
        <w:pStyle w:val="ListParagraph"/>
        <w:widowControl w:val="0"/>
        <w:suppressAutoHyphens/>
        <w:spacing w:line="360" w:lineRule="atLeast"/>
        <w:ind w:left="0" w:firstLine="720"/>
        <w:contextualSpacing w:val="0"/>
        <w:jc w:val="both"/>
        <w:rPr>
          <w:sz w:val="24"/>
          <w:szCs w:val="24"/>
        </w:rPr>
      </w:pPr>
      <w:r w:rsidRPr="00E9315C">
        <w:rPr>
          <w:sz w:val="24"/>
          <w:szCs w:val="24"/>
        </w:rPr>
        <w:t>49</w:t>
      </w:r>
      <w:r w:rsidRPr="00E9315C">
        <w:rPr>
          <w:sz w:val="24"/>
          <w:szCs w:val="24"/>
          <w:vertAlign w:val="superscript"/>
        </w:rPr>
        <w:t>4</w:t>
      </w:r>
      <w:r w:rsidRPr="00E9315C">
        <w:rPr>
          <w:sz w:val="24"/>
          <w:szCs w:val="24"/>
        </w:rPr>
        <w:t>.</w:t>
      </w:r>
      <w:r w:rsidR="00570780">
        <w:rPr>
          <w:sz w:val="24"/>
          <w:szCs w:val="24"/>
        </w:rPr>
        <w:t xml:space="preserve"> </w:t>
      </w:r>
      <w:r w:rsidR="00397DF4" w:rsidRPr="00E9315C">
        <w:rPr>
          <w:sz w:val="24"/>
          <w:szCs w:val="24"/>
        </w:rPr>
        <w:t>Vertinimo ataskaitoje turi būti nurodytas pasirinktų koeficientų naudojimo pagrindimas.</w:t>
      </w:r>
    </w:p>
    <w:p w14:paraId="3137C460" w14:textId="4CD32CDD" w:rsidR="00397DF4" w:rsidRPr="00E9315C" w:rsidRDefault="00E9315C" w:rsidP="00570780">
      <w:pPr>
        <w:pStyle w:val="ListParagraph"/>
        <w:widowControl w:val="0"/>
        <w:suppressAutoHyphens/>
        <w:spacing w:line="360" w:lineRule="atLeast"/>
        <w:ind w:left="0" w:firstLine="720"/>
        <w:contextualSpacing w:val="0"/>
        <w:jc w:val="both"/>
        <w:rPr>
          <w:sz w:val="24"/>
          <w:szCs w:val="24"/>
        </w:rPr>
      </w:pPr>
      <w:r w:rsidRPr="00E9315C">
        <w:rPr>
          <w:sz w:val="24"/>
          <w:szCs w:val="24"/>
        </w:rPr>
        <w:t>49</w:t>
      </w:r>
      <w:r>
        <w:rPr>
          <w:sz w:val="24"/>
          <w:szCs w:val="24"/>
          <w:vertAlign w:val="superscript"/>
        </w:rPr>
        <w:t xml:space="preserve">5. </w:t>
      </w:r>
      <w:r w:rsidR="00397DF4" w:rsidRPr="00E9315C">
        <w:rPr>
          <w:sz w:val="24"/>
          <w:szCs w:val="24"/>
        </w:rPr>
        <w:t>Atlikdamas transporto priemonės apžiūrą, vertintojas</w:t>
      </w:r>
      <w:r w:rsidR="004E5D67" w:rsidRPr="004E5D67">
        <w:rPr>
          <w:sz w:val="24"/>
          <w:szCs w:val="24"/>
        </w:rPr>
        <w:t xml:space="preserve"> </w:t>
      </w:r>
      <w:r w:rsidR="004E5D67">
        <w:rPr>
          <w:sz w:val="24"/>
          <w:szCs w:val="24"/>
        </w:rPr>
        <w:t xml:space="preserve">vadovaujasi </w:t>
      </w:r>
      <w:r w:rsidR="004E5D67" w:rsidRPr="00E9315C">
        <w:rPr>
          <w:sz w:val="24"/>
          <w:szCs w:val="24"/>
        </w:rPr>
        <w:t>Metodikos II</w:t>
      </w:r>
      <w:r w:rsidR="00B77E12">
        <w:rPr>
          <w:sz w:val="24"/>
          <w:szCs w:val="24"/>
        </w:rPr>
        <w:t>I</w:t>
      </w:r>
      <w:r w:rsidR="004E5D67" w:rsidRPr="00E9315C">
        <w:rPr>
          <w:sz w:val="24"/>
          <w:szCs w:val="24"/>
        </w:rPr>
        <w:t xml:space="preserve"> skyri</w:t>
      </w:r>
      <w:r w:rsidR="004E5D67">
        <w:rPr>
          <w:sz w:val="24"/>
          <w:szCs w:val="24"/>
        </w:rPr>
        <w:t>aus II skirsnyje nustatytais</w:t>
      </w:r>
      <w:r w:rsidR="004E5D67" w:rsidRPr="00E9315C">
        <w:rPr>
          <w:sz w:val="24"/>
          <w:szCs w:val="24"/>
        </w:rPr>
        <w:t xml:space="preserve"> reikalavim</w:t>
      </w:r>
      <w:r w:rsidR="004E5D67">
        <w:rPr>
          <w:sz w:val="24"/>
          <w:szCs w:val="24"/>
        </w:rPr>
        <w:t xml:space="preserve">ais, </w:t>
      </w:r>
      <w:r w:rsidR="00397DF4" w:rsidRPr="00E9315C">
        <w:rPr>
          <w:sz w:val="24"/>
          <w:szCs w:val="24"/>
        </w:rPr>
        <w:t>taip pat nustato ir užfiksuoja transporto priemonės vertės apskaičiavimui aktualias individualias savybes, būklę ir</w:t>
      </w:r>
      <w:r w:rsidR="004E5D67">
        <w:rPr>
          <w:sz w:val="24"/>
          <w:szCs w:val="24"/>
        </w:rPr>
        <w:t xml:space="preserve"> (arba)</w:t>
      </w:r>
      <w:r w:rsidR="00397DF4" w:rsidRPr="00E9315C">
        <w:rPr>
          <w:sz w:val="24"/>
          <w:szCs w:val="24"/>
        </w:rPr>
        <w:t xml:space="preserve"> apgadinimus, surenka vaizdinę medžiagą (nuotraukos, vaizdo įrašai), kurioje turi būti matoma:</w:t>
      </w:r>
    </w:p>
    <w:p w14:paraId="08C8ACCE" w14:textId="6B2B38E1" w:rsidR="00397DF4" w:rsidRPr="00E9315C" w:rsidRDefault="00E9315C" w:rsidP="00570780">
      <w:pPr>
        <w:pStyle w:val="ListParagraph"/>
        <w:spacing w:line="360" w:lineRule="atLeast"/>
        <w:contextualSpacing w:val="0"/>
        <w:jc w:val="both"/>
        <w:rPr>
          <w:sz w:val="24"/>
          <w:szCs w:val="24"/>
        </w:rPr>
      </w:pPr>
      <w:r w:rsidRPr="00E9315C">
        <w:rPr>
          <w:sz w:val="24"/>
          <w:szCs w:val="24"/>
        </w:rPr>
        <w:t>49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.1.</w:t>
      </w:r>
      <w:r w:rsidR="00570780">
        <w:rPr>
          <w:sz w:val="24"/>
          <w:szCs w:val="24"/>
        </w:rPr>
        <w:t xml:space="preserve"> </w:t>
      </w:r>
      <w:r w:rsidR="00397DF4" w:rsidRPr="00E9315C">
        <w:rPr>
          <w:sz w:val="24"/>
          <w:szCs w:val="24"/>
        </w:rPr>
        <w:t>identifikavimo numeris;</w:t>
      </w:r>
    </w:p>
    <w:p w14:paraId="159A1F79" w14:textId="0E0FB096" w:rsidR="00397DF4" w:rsidRPr="00570780" w:rsidRDefault="00570780" w:rsidP="00570780">
      <w:pPr>
        <w:spacing w:line="360" w:lineRule="atLeast"/>
        <w:ind w:left="720"/>
        <w:jc w:val="both"/>
        <w:rPr>
          <w:szCs w:val="24"/>
        </w:rPr>
      </w:pPr>
      <w:r>
        <w:rPr>
          <w:rFonts w:eastAsia="Calibri"/>
          <w:szCs w:val="24"/>
        </w:rPr>
        <w:t>49</w:t>
      </w:r>
      <w:r w:rsidRPr="00570780">
        <w:rPr>
          <w:rFonts w:eastAsia="Calibri"/>
          <w:szCs w:val="24"/>
          <w:vertAlign w:val="superscript"/>
        </w:rPr>
        <w:t>5</w:t>
      </w:r>
      <w:r>
        <w:rPr>
          <w:rFonts w:eastAsia="Calibri"/>
          <w:szCs w:val="24"/>
        </w:rPr>
        <w:t>.</w:t>
      </w:r>
      <w:r w:rsidR="000E1647"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</w:t>
      </w:r>
      <w:r w:rsidR="00397DF4" w:rsidRPr="00570780">
        <w:rPr>
          <w:rFonts w:eastAsia="Calibri"/>
          <w:szCs w:val="24"/>
        </w:rPr>
        <w:t>pirmosios registracijos diena;</w:t>
      </w:r>
    </w:p>
    <w:p w14:paraId="6B0792A5" w14:textId="7E8C0385" w:rsidR="00397DF4" w:rsidRPr="00E9315C" w:rsidRDefault="00570780" w:rsidP="00570780">
      <w:pPr>
        <w:pStyle w:val="ListParagraph"/>
        <w:spacing w:line="360" w:lineRule="atLeast"/>
        <w:contextualSpacing w:val="0"/>
        <w:jc w:val="both"/>
        <w:rPr>
          <w:sz w:val="24"/>
          <w:szCs w:val="24"/>
        </w:rPr>
      </w:pPr>
      <w:r w:rsidRPr="00570780">
        <w:rPr>
          <w:rFonts w:eastAsia="Calibri"/>
          <w:sz w:val="24"/>
          <w:szCs w:val="24"/>
        </w:rPr>
        <w:t>49</w:t>
      </w:r>
      <w:r w:rsidRPr="00570780">
        <w:rPr>
          <w:rFonts w:eastAsia="Calibri"/>
          <w:sz w:val="24"/>
          <w:szCs w:val="24"/>
          <w:vertAlign w:val="superscript"/>
        </w:rPr>
        <w:t>5</w:t>
      </w:r>
      <w:r w:rsidRPr="00570780">
        <w:rPr>
          <w:rFonts w:eastAsia="Calibri"/>
          <w:sz w:val="24"/>
          <w:szCs w:val="24"/>
        </w:rPr>
        <w:t>.</w:t>
      </w:r>
      <w:r w:rsidR="000E1647">
        <w:rPr>
          <w:rFonts w:eastAsia="Calibri"/>
          <w:sz w:val="24"/>
          <w:szCs w:val="24"/>
        </w:rPr>
        <w:t>3.</w:t>
      </w:r>
      <w:r w:rsidRPr="00570780">
        <w:rPr>
          <w:rFonts w:eastAsia="Calibri"/>
          <w:sz w:val="24"/>
          <w:szCs w:val="24"/>
        </w:rPr>
        <w:t xml:space="preserve"> </w:t>
      </w:r>
      <w:r w:rsidR="00397DF4" w:rsidRPr="00E9315C">
        <w:rPr>
          <w:sz w:val="24"/>
          <w:szCs w:val="24"/>
        </w:rPr>
        <w:t>esant galimybei – odometro, motovalandų ar darbo valandų rodmenys;</w:t>
      </w:r>
    </w:p>
    <w:p w14:paraId="1C91C199" w14:textId="4FE6F89E" w:rsidR="00397DF4" w:rsidRPr="00E9315C" w:rsidRDefault="00570780" w:rsidP="00570780">
      <w:pPr>
        <w:pStyle w:val="ListParagraph"/>
        <w:spacing w:line="36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570780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.</w:t>
      </w:r>
      <w:r w:rsidR="000E164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97DF4" w:rsidRPr="00E9315C">
        <w:rPr>
          <w:sz w:val="24"/>
          <w:szCs w:val="24"/>
        </w:rPr>
        <w:t>variklio skyrius;</w:t>
      </w:r>
    </w:p>
    <w:p w14:paraId="1EBCD596" w14:textId="2EB5C33C" w:rsidR="00397DF4" w:rsidRPr="00E9315C" w:rsidRDefault="00570780" w:rsidP="00570780">
      <w:pPr>
        <w:pStyle w:val="ListParagraph"/>
        <w:spacing w:line="360" w:lineRule="atLeast"/>
        <w:contextualSpacing w:val="0"/>
        <w:jc w:val="both"/>
        <w:rPr>
          <w:sz w:val="24"/>
          <w:szCs w:val="24"/>
        </w:rPr>
      </w:pPr>
      <w:r w:rsidRPr="00570780">
        <w:rPr>
          <w:rFonts w:eastAsia="Calibri"/>
          <w:sz w:val="24"/>
          <w:szCs w:val="24"/>
        </w:rPr>
        <w:t>49</w:t>
      </w:r>
      <w:r w:rsidRPr="00570780">
        <w:rPr>
          <w:rFonts w:eastAsia="Calibri"/>
          <w:sz w:val="24"/>
          <w:szCs w:val="24"/>
          <w:vertAlign w:val="superscript"/>
        </w:rPr>
        <w:t>5</w:t>
      </w:r>
      <w:r w:rsidRPr="00570780">
        <w:rPr>
          <w:rFonts w:eastAsia="Calibri"/>
          <w:sz w:val="24"/>
          <w:szCs w:val="24"/>
        </w:rPr>
        <w:t>.</w:t>
      </w:r>
      <w:r w:rsidR="000E1647">
        <w:rPr>
          <w:rFonts w:eastAsia="Calibri"/>
          <w:sz w:val="24"/>
          <w:szCs w:val="24"/>
        </w:rPr>
        <w:t>5</w:t>
      </w:r>
      <w:r w:rsidRPr="00570780">
        <w:rPr>
          <w:rFonts w:eastAsia="Calibri"/>
          <w:sz w:val="24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570780">
        <w:rPr>
          <w:rFonts w:eastAsia="Calibri"/>
          <w:sz w:val="24"/>
          <w:szCs w:val="24"/>
        </w:rPr>
        <w:t xml:space="preserve"> </w:t>
      </w:r>
      <w:r w:rsidR="00397DF4" w:rsidRPr="00E9315C">
        <w:rPr>
          <w:sz w:val="24"/>
          <w:szCs w:val="24"/>
        </w:rPr>
        <w:t>transporto priemonės apgadinimai.</w:t>
      </w:r>
    </w:p>
    <w:p w14:paraId="6C073098" w14:textId="636569E2" w:rsidR="00397DF4" w:rsidRDefault="00E01C00" w:rsidP="00570780">
      <w:pPr>
        <w:spacing w:line="360" w:lineRule="atLeast"/>
        <w:ind w:firstLine="720"/>
        <w:jc w:val="both"/>
        <w:rPr>
          <w:szCs w:val="24"/>
        </w:rPr>
      </w:pPr>
      <w:r w:rsidRPr="00E9315C">
        <w:rPr>
          <w:szCs w:val="24"/>
        </w:rPr>
        <w:t>49</w:t>
      </w:r>
      <w:r>
        <w:rPr>
          <w:szCs w:val="24"/>
          <w:vertAlign w:val="superscript"/>
        </w:rPr>
        <w:t>6</w:t>
      </w:r>
      <w:r w:rsidR="00397DF4" w:rsidRPr="00E01C00">
        <w:rPr>
          <w:szCs w:val="24"/>
        </w:rPr>
        <w:t xml:space="preserve">. Kai atliekamas apgadintos transporto priemonės vertinimas apmokestinimo tikslu, </w:t>
      </w:r>
      <w:r w:rsidR="00397DF4" w:rsidRPr="00E9315C">
        <w:rPr>
          <w:szCs w:val="24"/>
        </w:rPr>
        <w:t xml:space="preserve">apžiūroje, užsakovui suderinus apžiūros datą ir laiką, turi teisę dalyvauti suinteresuotos institucijos atstovas. Jei apžiūroje dalyvavo suinteresuotos institucijos atstovas, apžiūros akte turi būti nurodyti </w:t>
      </w:r>
      <w:r w:rsidR="00397DF4" w:rsidRPr="00E9315C">
        <w:rPr>
          <w:szCs w:val="24"/>
        </w:rPr>
        <w:lastRenderedPageBreak/>
        <w:t>apžiūroje dalyvavusių asmenų duomenys (</w:t>
      </w:r>
      <w:r w:rsidR="000821A6" w:rsidRPr="00E9315C">
        <w:rPr>
          <w:szCs w:val="24"/>
        </w:rPr>
        <w:t xml:space="preserve">atstovo vardas, pavardė, pareigų pavadinimas, juridinio asmens </w:t>
      </w:r>
      <w:r w:rsidR="00397DF4" w:rsidRPr="00E9315C">
        <w:rPr>
          <w:szCs w:val="24"/>
        </w:rPr>
        <w:t>pavadinimas</w:t>
      </w:r>
      <w:r w:rsidR="00DB18B4">
        <w:rPr>
          <w:szCs w:val="24"/>
        </w:rPr>
        <w:t xml:space="preserve"> ir kodas</w:t>
      </w:r>
      <w:r w:rsidR="00397DF4" w:rsidRPr="00E9315C">
        <w:rPr>
          <w:szCs w:val="24"/>
        </w:rPr>
        <w:t>, teisinė forma, buveinė</w:t>
      </w:r>
      <w:r w:rsidR="00DB18B4">
        <w:rPr>
          <w:szCs w:val="24"/>
        </w:rPr>
        <w:t>s adresas</w:t>
      </w:r>
      <w:r w:rsidR="00397DF4" w:rsidRPr="00E9315C">
        <w:rPr>
          <w:szCs w:val="24"/>
        </w:rPr>
        <w:t xml:space="preserve">, </w:t>
      </w:r>
      <w:r w:rsidR="00397DF4" w:rsidRPr="00302325">
        <w:rPr>
          <w:szCs w:val="24"/>
        </w:rPr>
        <w:t>kontaktiniai duomenys).</w:t>
      </w:r>
      <w:r w:rsidR="00397DF4" w:rsidRPr="00E9315C">
        <w:rPr>
          <w:szCs w:val="24"/>
        </w:rPr>
        <w:t>“</w:t>
      </w:r>
    </w:p>
    <w:p w14:paraId="2C4F6520" w14:textId="20201F25" w:rsidR="00AD0E9F" w:rsidRDefault="00AD0E9F" w:rsidP="00570780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1.2. Pakeičiu 50.2 papunktį ir jį išdėstau taip:</w:t>
      </w:r>
    </w:p>
    <w:p w14:paraId="4F7A4118" w14:textId="77054FB1" w:rsidR="00AD0E9F" w:rsidRPr="00E9315C" w:rsidRDefault="00AD0E9F" w:rsidP="00570780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 xml:space="preserve">„50.2. </w:t>
      </w:r>
      <w:r>
        <w:rPr>
          <w:rFonts w:ascii="&amp;quot" w:hAnsi="&amp;quot"/>
          <w:color w:val="000000"/>
        </w:rPr>
        <w:t>Priežiūros įstaigos nurodymu, kai Priežiūros įstaiga nustato, kad vertinimo ataskaitoje yra klaidų ar netikslumų.</w:t>
      </w:r>
      <w:r w:rsidR="00D550EC">
        <w:rPr>
          <w:rFonts w:ascii="&amp;quot" w:hAnsi="&amp;quot"/>
          <w:color w:val="000000"/>
        </w:rPr>
        <w:t>“</w:t>
      </w:r>
    </w:p>
    <w:p w14:paraId="43ACA87F" w14:textId="614816DF" w:rsidR="00AF526C" w:rsidRDefault="00AF526C" w:rsidP="00570780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2. N u s t a t a</w:t>
      </w:r>
      <w:r w:rsidRPr="002A47CF">
        <w:rPr>
          <w:szCs w:val="24"/>
        </w:rPr>
        <w:t xml:space="preserve"> u</w:t>
      </w:r>
      <w:r>
        <w:rPr>
          <w:szCs w:val="24"/>
        </w:rPr>
        <w:t>, kad:</w:t>
      </w:r>
    </w:p>
    <w:p w14:paraId="3F7E891D" w14:textId="0AF63187" w:rsidR="00AF526C" w:rsidRDefault="00AF526C" w:rsidP="00570780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2.1. šis įsakymas įsigalioja 2020 m. rugsėjo 1 d.</w:t>
      </w:r>
    </w:p>
    <w:p w14:paraId="4DFF31F5" w14:textId="049B565F" w:rsidR="00D07E47" w:rsidRDefault="00AF526C" w:rsidP="000E1647"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2.2. kelių transporto priemonių vertinimai, pradėti iki įsakymo įsigaliojimo, baigiami pagal iki įsakymo įsigaliojimo galiojusių teisės aktų nuostatas.</w:t>
      </w:r>
    </w:p>
    <w:p w14:paraId="564D2179" w14:textId="77777777" w:rsidR="000E1647" w:rsidRDefault="000E1647" w:rsidP="000E1647">
      <w:pPr>
        <w:spacing w:line="360" w:lineRule="atLeast"/>
        <w:ind w:firstLine="720"/>
        <w:jc w:val="both"/>
        <w:rPr>
          <w:sz w:val="18"/>
          <w:szCs w:val="18"/>
        </w:rPr>
      </w:pPr>
    </w:p>
    <w:p w14:paraId="4CF0C1B9" w14:textId="77777777" w:rsidR="00D07E47" w:rsidRDefault="00D07E47" w:rsidP="00570780">
      <w:pPr>
        <w:tabs>
          <w:tab w:val="left" w:pos="1276"/>
        </w:tabs>
        <w:spacing w:line="360" w:lineRule="atLeast"/>
        <w:ind w:firstLine="709"/>
        <w:jc w:val="center"/>
        <w:textAlignment w:val="center"/>
        <w:rPr>
          <w:sz w:val="22"/>
          <w:szCs w:val="24"/>
        </w:rPr>
      </w:pPr>
    </w:p>
    <w:p w14:paraId="60046564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</w:pPr>
    </w:p>
    <w:p w14:paraId="4DFF3209" w14:textId="48985B1E" w:rsidR="00D07E47" w:rsidRDefault="00FD193F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  <w:r>
        <w:rPr>
          <w:szCs w:val="24"/>
        </w:rPr>
        <w:t xml:space="preserve">Finansų ministras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2F4BAF1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21B4783C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04324C20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189F0DD7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28E2BD02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1D79CFA5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092BFC9E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658230F8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48C648C8" w14:textId="77777777" w:rsidR="002A47CF" w:rsidRDefault="002A47CF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79E2FE2A" w14:textId="77777777" w:rsidR="002A47CF" w:rsidRDefault="002A47CF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143D8579" w14:textId="77777777" w:rsidR="002A47CF" w:rsidRDefault="002A47CF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1736424F" w14:textId="77777777" w:rsidR="002A47CF" w:rsidRDefault="002A47CF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179A91E4" w14:textId="77777777" w:rsidR="002A47CF" w:rsidRDefault="002A47CF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1FDB8C5B" w14:textId="77777777" w:rsidR="002A47CF" w:rsidRDefault="002A47CF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0A4FDFAC" w14:textId="77777777" w:rsidR="00D07E47" w:rsidRDefault="00D07E47" w:rsidP="00570780">
      <w:pPr>
        <w:tabs>
          <w:tab w:val="left" w:pos="1276"/>
        </w:tabs>
        <w:spacing w:line="360" w:lineRule="atLeast"/>
        <w:jc w:val="both"/>
        <w:textAlignment w:val="center"/>
        <w:rPr>
          <w:szCs w:val="24"/>
        </w:rPr>
      </w:pPr>
    </w:p>
    <w:p w14:paraId="34D5AEDA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04A1BC2A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4BBC3800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0EBD404E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7FD64E30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5B828B9C" w14:textId="49650CD8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0D589DD2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1BAB3E95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138CA3F0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1579DE72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7F576DFD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5823740D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6327FB59" w14:textId="77777777" w:rsidR="000E1647" w:rsidRDefault="000E1647" w:rsidP="000E1647">
      <w:pPr>
        <w:tabs>
          <w:tab w:val="left" w:pos="1276"/>
        </w:tabs>
        <w:jc w:val="both"/>
        <w:textAlignment w:val="center"/>
        <w:rPr>
          <w:szCs w:val="24"/>
        </w:rPr>
      </w:pPr>
    </w:p>
    <w:p w14:paraId="7786E1A2" w14:textId="0C8AF273" w:rsidR="00D07E47" w:rsidRPr="00CA3A3F" w:rsidRDefault="00FD193F" w:rsidP="000E1647">
      <w:pPr>
        <w:tabs>
          <w:tab w:val="left" w:pos="1276"/>
        </w:tabs>
        <w:jc w:val="both"/>
        <w:textAlignment w:val="center"/>
        <w:rPr>
          <w:sz w:val="20"/>
        </w:rPr>
      </w:pPr>
      <w:r w:rsidRPr="00CA3A3F">
        <w:rPr>
          <w:sz w:val="20"/>
        </w:rPr>
        <w:t>Parengė</w:t>
      </w:r>
    </w:p>
    <w:p w14:paraId="56CDFF5B" w14:textId="77777777" w:rsidR="00D07E47" w:rsidRPr="00CA3A3F" w:rsidRDefault="00D07E47" w:rsidP="000E1647">
      <w:pPr>
        <w:tabs>
          <w:tab w:val="left" w:pos="1276"/>
        </w:tabs>
        <w:jc w:val="both"/>
        <w:textAlignment w:val="center"/>
        <w:rPr>
          <w:sz w:val="20"/>
        </w:rPr>
      </w:pPr>
    </w:p>
    <w:p w14:paraId="4983DD26" w14:textId="17EC6E1C" w:rsidR="00D07E47" w:rsidRPr="00CA3A3F" w:rsidRDefault="00397DF4" w:rsidP="000E1647">
      <w:pPr>
        <w:tabs>
          <w:tab w:val="left" w:pos="1276"/>
        </w:tabs>
        <w:jc w:val="both"/>
        <w:textAlignment w:val="center"/>
        <w:rPr>
          <w:sz w:val="20"/>
        </w:rPr>
      </w:pPr>
      <w:r w:rsidRPr="00CA3A3F">
        <w:rPr>
          <w:sz w:val="20"/>
        </w:rPr>
        <w:t>B</w:t>
      </w:r>
      <w:r w:rsidR="008406BF" w:rsidRPr="00CA3A3F">
        <w:rPr>
          <w:sz w:val="20"/>
        </w:rPr>
        <w:t>.</w:t>
      </w:r>
      <w:r w:rsidRPr="00CA3A3F">
        <w:rPr>
          <w:sz w:val="20"/>
        </w:rPr>
        <w:t xml:space="preserve"> Balkė</w:t>
      </w:r>
    </w:p>
    <w:sectPr w:rsidR="00D07E47" w:rsidRPr="00CA3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8968" w14:textId="77777777" w:rsidR="00ED58E4" w:rsidRDefault="00ED58E4">
      <w:r>
        <w:separator/>
      </w:r>
    </w:p>
  </w:endnote>
  <w:endnote w:type="continuationSeparator" w:id="0">
    <w:p w14:paraId="4F859A0B" w14:textId="77777777" w:rsidR="00ED58E4" w:rsidRDefault="00ED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82DA" w14:textId="77777777" w:rsidR="00D07E47" w:rsidRDefault="00D07E4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4145" w14:textId="77777777" w:rsidR="00D07E47" w:rsidRDefault="00D07E4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A092B" w14:textId="77777777" w:rsidR="00D07E47" w:rsidRDefault="00D07E4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33815" w14:textId="77777777" w:rsidR="00ED58E4" w:rsidRDefault="00ED58E4">
      <w:r>
        <w:separator/>
      </w:r>
    </w:p>
  </w:footnote>
  <w:footnote w:type="continuationSeparator" w:id="0">
    <w:p w14:paraId="7E8D42F6" w14:textId="77777777" w:rsidR="00ED58E4" w:rsidRDefault="00ED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353F" w14:textId="77777777" w:rsidR="00D07E47" w:rsidRDefault="00D07E4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58B6" w14:textId="7B8A874F" w:rsidR="00D07E47" w:rsidRDefault="00FD193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A324C">
      <w:rPr>
        <w:noProof/>
      </w:rPr>
      <w:t>2</w:t>
    </w:r>
    <w:r>
      <w:fldChar w:fldCharType="end"/>
    </w:r>
  </w:p>
  <w:p w14:paraId="6593FB8D" w14:textId="77777777" w:rsidR="00D07E47" w:rsidRDefault="00D07E4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8B2A6" w14:textId="77777777" w:rsidR="00D07E47" w:rsidRDefault="00D07E47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7EF"/>
    <w:multiLevelType w:val="hybridMultilevel"/>
    <w:tmpl w:val="BD2E3F6E"/>
    <w:lvl w:ilvl="0" w:tplc="0427000F">
      <w:start w:val="1"/>
      <w:numFmt w:val="decimal"/>
      <w:lvlText w:val="%1."/>
      <w:lvlJc w:val="left"/>
      <w:pPr>
        <w:ind w:left="1467" w:hanging="360"/>
      </w:pPr>
    </w:lvl>
    <w:lvl w:ilvl="1" w:tplc="04270019" w:tentative="1">
      <w:start w:val="1"/>
      <w:numFmt w:val="lowerLetter"/>
      <w:lvlText w:val="%2."/>
      <w:lvlJc w:val="left"/>
      <w:pPr>
        <w:ind w:left="2187" w:hanging="360"/>
      </w:pPr>
    </w:lvl>
    <w:lvl w:ilvl="2" w:tplc="0427001B" w:tentative="1">
      <w:start w:val="1"/>
      <w:numFmt w:val="lowerRoman"/>
      <w:lvlText w:val="%3."/>
      <w:lvlJc w:val="right"/>
      <w:pPr>
        <w:ind w:left="2907" w:hanging="180"/>
      </w:pPr>
    </w:lvl>
    <w:lvl w:ilvl="3" w:tplc="0427000F" w:tentative="1">
      <w:start w:val="1"/>
      <w:numFmt w:val="decimal"/>
      <w:lvlText w:val="%4."/>
      <w:lvlJc w:val="left"/>
      <w:pPr>
        <w:ind w:left="3627" w:hanging="360"/>
      </w:pPr>
    </w:lvl>
    <w:lvl w:ilvl="4" w:tplc="04270019" w:tentative="1">
      <w:start w:val="1"/>
      <w:numFmt w:val="lowerLetter"/>
      <w:lvlText w:val="%5."/>
      <w:lvlJc w:val="left"/>
      <w:pPr>
        <w:ind w:left="4347" w:hanging="360"/>
      </w:pPr>
    </w:lvl>
    <w:lvl w:ilvl="5" w:tplc="0427001B" w:tentative="1">
      <w:start w:val="1"/>
      <w:numFmt w:val="lowerRoman"/>
      <w:lvlText w:val="%6."/>
      <w:lvlJc w:val="right"/>
      <w:pPr>
        <w:ind w:left="5067" w:hanging="180"/>
      </w:pPr>
    </w:lvl>
    <w:lvl w:ilvl="6" w:tplc="0427000F" w:tentative="1">
      <w:start w:val="1"/>
      <w:numFmt w:val="decimal"/>
      <w:lvlText w:val="%7."/>
      <w:lvlJc w:val="left"/>
      <w:pPr>
        <w:ind w:left="5787" w:hanging="360"/>
      </w:pPr>
    </w:lvl>
    <w:lvl w:ilvl="7" w:tplc="04270019" w:tentative="1">
      <w:start w:val="1"/>
      <w:numFmt w:val="lowerLetter"/>
      <w:lvlText w:val="%8."/>
      <w:lvlJc w:val="left"/>
      <w:pPr>
        <w:ind w:left="6507" w:hanging="360"/>
      </w:pPr>
    </w:lvl>
    <w:lvl w:ilvl="8" w:tplc="0427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37707B25"/>
    <w:multiLevelType w:val="hybridMultilevel"/>
    <w:tmpl w:val="29AE6400"/>
    <w:lvl w:ilvl="0" w:tplc="04270011">
      <w:start w:val="1"/>
      <w:numFmt w:val="decimal"/>
      <w:lvlText w:val="%1)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2F7184"/>
    <w:multiLevelType w:val="multilevel"/>
    <w:tmpl w:val="4E684F44"/>
    <w:lvl w:ilvl="0">
      <w:start w:val="495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320" w:hanging="60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9"/>
    <w:rsid w:val="00002B86"/>
    <w:rsid w:val="00005659"/>
    <w:rsid w:val="000821A6"/>
    <w:rsid w:val="000950F1"/>
    <w:rsid w:val="000964FB"/>
    <w:rsid w:val="000E1647"/>
    <w:rsid w:val="00123100"/>
    <w:rsid w:val="001C3223"/>
    <w:rsid w:val="001D0A63"/>
    <w:rsid w:val="0024259A"/>
    <w:rsid w:val="002A47CF"/>
    <w:rsid w:val="00302325"/>
    <w:rsid w:val="00315085"/>
    <w:rsid w:val="00323DE6"/>
    <w:rsid w:val="0037330A"/>
    <w:rsid w:val="00397DF4"/>
    <w:rsid w:val="004444A9"/>
    <w:rsid w:val="004E5D67"/>
    <w:rsid w:val="004F0FD8"/>
    <w:rsid w:val="00512C9E"/>
    <w:rsid w:val="00534D35"/>
    <w:rsid w:val="00544115"/>
    <w:rsid w:val="00570780"/>
    <w:rsid w:val="00615888"/>
    <w:rsid w:val="006676C0"/>
    <w:rsid w:val="006B7746"/>
    <w:rsid w:val="006F33A5"/>
    <w:rsid w:val="00714CA5"/>
    <w:rsid w:val="007C08D4"/>
    <w:rsid w:val="008347F9"/>
    <w:rsid w:val="008406BF"/>
    <w:rsid w:val="00872D66"/>
    <w:rsid w:val="00895F8C"/>
    <w:rsid w:val="00965E5B"/>
    <w:rsid w:val="009A3431"/>
    <w:rsid w:val="00A60F5D"/>
    <w:rsid w:val="00A618ED"/>
    <w:rsid w:val="00AD0E9F"/>
    <w:rsid w:val="00AE7AC0"/>
    <w:rsid w:val="00AF526C"/>
    <w:rsid w:val="00B06352"/>
    <w:rsid w:val="00B1265F"/>
    <w:rsid w:val="00B13F5C"/>
    <w:rsid w:val="00B77E12"/>
    <w:rsid w:val="00B87C1A"/>
    <w:rsid w:val="00BE3E56"/>
    <w:rsid w:val="00C07148"/>
    <w:rsid w:val="00C40B62"/>
    <w:rsid w:val="00C60ABE"/>
    <w:rsid w:val="00CA3A3F"/>
    <w:rsid w:val="00CB4170"/>
    <w:rsid w:val="00D07E47"/>
    <w:rsid w:val="00D305DD"/>
    <w:rsid w:val="00D550EC"/>
    <w:rsid w:val="00D67015"/>
    <w:rsid w:val="00DA569D"/>
    <w:rsid w:val="00DB18B4"/>
    <w:rsid w:val="00DE4B42"/>
    <w:rsid w:val="00DF1D44"/>
    <w:rsid w:val="00E00850"/>
    <w:rsid w:val="00E01C00"/>
    <w:rsid w:val="00E247C6"/>
    <w:rsid w:val="00E53089"/>
    <w:rsid w:val="00E62F75"/>
    <w:rsid w:val="00E82D06"/>
    <w:rsid w:val="00E9315C"/>
    <w:rsid w:val="00EA324C"/>
    <w:rsid w:val="00EC40AC"/>
    <w:rsid w:val="00ED58E4"/>
    <w:rsid w:val="00EE5C16"/>
    <w:rsid w:val="00F726EF"/>
    <w:rsid w:val="00F81A77"/>
    <w:rsid w:val="00FD193F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3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F4"/>
    <w:pPr>
      <w:ind w:left="720"/>
      <w:contextualSpacing/>
    </w:pPr>
    <w:rPr>
      <w:sz w:val="20"/>
    </w:rPr>
  </w:style>
  <w:style w:type="paragraph" w:styleId="BalloonText">
    <w:name w:val="Balloon Text"/>
    <w:basedOn w:val="Normal"/>
    <w:link w:val="BalloonTextChar"/>
    <w:rsid w:val="006F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3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2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D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2D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E82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D06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F4"/>
    <w:pPr>
      <w:ind w:left="720"/>
      <w:contextualSpacing/>
    </w:pPr>
    <w:rPr>
      <w:sz w:val="20"/>
    </w:rPr>
  </w:style>
  <w:style w:type="paragraph" w:styleId="BalloonText">
    <w:name w:val="Balloon Text"/>
    <w:basedOn w:val="Normal"/>
    <w:link w:val="BalloonTextChar"/>
    <w:rsid w:val="006F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3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2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D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2D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E82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D0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55E1-604E-4B2A-BF5D-22F1E19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3029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Kirilevičiūtė</dc:creator>
  <cp:lastModifiedBy>Deimantė Laumytė</cp:lastModifiedBy>
  <cp:revision>2</cp:revision>
  <cp:lastPrinted>2019-09-19T04:53:00Z</cp:lastPrinted>
  <dcterms:created xsi:type="dcterms:W3CDTF">2020-07-06T11:58:00Z</dcterms:created>
  <dcterms:modified xsi:type="dcterms:W3CDTF">2020-07-06T11:58:00Z</dcterms:modified>
</cp:coreProperties>
</file>